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C82C">
      <w:pPr>
        <w:tabs>
          <w:tab w:val="left" w:pos="2730"/>
        </w:tabs>
        <w:spacing w:line="720" w:lineRule="auto"/>
        <w:rPr>
          <w:rFonts w:hint="default" w:ascii="Times New Roman" w:hAnsi="Times New Roman" w:eastAsia="仿宋" w:cs="Times New Roman"/>
          <w:b/>
          <w:sz w:val="52"/>
          <w:szCs w:val="52"/>
        </w:rPr>
      </w:pPr>
    </w:p>
    <w:p w14:paraId="2264D45B">
      <w:pPr>
        <w:spacing w:line="720" w:lineRule="auto"/>
        <w:rPr>
          <w:rFonts w:hint="default" w:ascii="Times New Roman" w:hAnsi="Times New Roman" w:eastAsia="仿宋" w:cs="Times New Roman"/>
          <w:b/>
          <w:sz w:val="52"/>
          <w:szCs w:val="52"/>
        </w:rPr>
      </w:pPr>
    </w:p>
    <w:p w14:paraId="6CBDFF9F">
      <w:pPr>
        <w:spacing w:line="720" w:lineRule="auto"/>
        <w:jc w:val="center"/>
        <w:rPr>
          <w:rFonts w:hint="default" w:ascii="Times New Roman" w:hAnsi="Times New Roman" w:eastAsia="仿宋" w:cs="Times New Roman"/>
          <w:b/>
          <w:color w:val="auto"/>
          <w:sz w:val="52"/>
          <w:szCs w:val="52"/>
        </w:rPr>
      </w:pPr>
      <w:r>
        <w:rPr>
          <w:rFonts w:hint="eastAsia" w:eastAsia="仿宋" w:cs="Times New Roman"/>
          <w:b/>
          <w:sz w:val="52"/>
          <w:szCs w:val="52"/>
          <w:lang w:val="en-US" w:eastAsia="zh-CN"/>
        </w:rPr>
        <w:t>如皋市RC2017-62#地块</w:t>
      </w:r>
      <w:r>
        <w:rPr>
          <w:rFonts w:hint="default" w:ascii="Times New Roman" w:hAnsi="Times New Roman" w:eastAsia="仿宋" w:cs="Times New Roman"/>
          <w:b/>
          <w:sz w:val="52"/>
          <w:szCs w:val="52"/>
        </w:rPr>
        <w:t>土壤污染状况调查报告</w:t>
      </w:r>
    </w:p>
    <w:p w14:paraId="44AF6F34">
      <w:pPr>
        <w:spacing w:line="720" w:lineRule="auto"/>
        <w:jc w:val="center"/>
        <w:rPr>
          <w:rFonts w:hint="default" w:ascii="Times New Roman" w:hAnsi="Times New Roman" w:eastAsia="仿宋" w:cs="Times New Roman"/>
          <w:b/>
          <w:sz w:val="48"/>
          <w:szCs w:val="48"/>
        </w:rPr>
      </w:pPr>
    </w:p>
    <w:p w14:paraId="4C54EB25">
      <w:pPr>
        <w:spacing w:line="720" w:lineRule="auto"/>
        <w:jc w:val="center"/>
        <w:rPr>
          <w:rFonts w:hint="default" w:ascii="Times New Roman" w:hAnsi="Times New Roman" w:eastAsia="仿宋" w:cs="Times New Roman"/>
          <w:b/>
          <w:sz w:val="48"/>
          <w:szCs w:val="48"/>
        </w:rPr>
      </w:pPr>
    </w:p>
    <w:p w14:paraId="152013AA">
      <w:pPr>
        <w:spacing w:line="720" w:lineRule="auto"/>
        <w:jc w:val="center"/>
        <w:rPr>
          <w:rFonts w:hint="default" w:ascii="Times New Roman" w:hAnsi="Times New Roman" w:eastAsia="仿宋" w:cs="Times New Roman"/>
          <w:b/>
          <w:sz w:val="48"/>
          <w:szCs w:val="48"/>
        </w:rPr>
      </w:pPr>
    </w:p>
    <w:p w14:paraId="390AA57B">
      <w:pPr>
        <w:spacing w:line="720" w:lineRule="auto"/>
        <w:jc w:val="center"/>
        <w:rPr>
          <w:rFonts w:hint="default" w:ascii="Times New Roman" w:hAnsi="Times New Roman" w:eastAsia="仿宋" w:cs="Times New Roman"/>
          <w:b/>
          <w:sz w:val="48"/>
          <w:szCs w:val="48"/>
        </w:rPr>
      </w:pPr>
      <w:r>
        <w:rPr>
          <w:rFonts w:hint="default" w:ascii="Times New Roman" w:hAnsi="Times New Roman" w:eastAsia="仿宋" w:cs="Times New Roman"/>
          <w:b/>
          <w:sz w:val="48"/>
          <w:szCs w:val="48"/>
        </w:rPr>
        <w:t>（</w:t>
      </w:r>
      <w:r>
        <w:rPr>
          <w:rFonts w:hint="eastAsia" w:eastAsia="仿宋" w:cs="Times New Roman"/>
          <w:b/>
          <w:sz w:val="48"/>
          <w:szCs w:val="48"/>
          <w:lang w:val="en-US" w:eastAsia="zh-CN"/>
        </w:rPr>
        <w:t>公示稿</w:t>
      </w:r>
      <w:r>
        <w:rPr>
          <w:rFonts w:hint="default" w:ascii="Times New Roman" w:hAnsi="Times New Roman" w:eastAsia="仿宋" w:cs="Times New Roman"/>
          <w:b/>
          <w:sz w:val="48"/>
          <w:szCs w:val="48"/>
        </w:rPr>
        <w:t>）</w:t>
      </w:r>
    </w:p>
    <w:p w14:paraId="7A722150">
      <w:pPr>
        <w:pStyle w:val="8"/>
        <w:rPr>
          <w:rFonts w:hint="default" w:ascii="Times New Roman" w:hAnsi="Times New Roman" w:eastAsia="仿宋" w:cs="Times New Roman"/>
        </w:rPr>
      </w:pPr>
    </w:p>
    <w:p w14:paraId="6DCF0CD5">
      <w:pPr>
        <w:pStyle w:val="8"/>
        <w:rPr>
          <w:rFonts w:hint="default" w:ascii="Times New Roman" w:hAnsi="Times New Roman" w:eastAsia="仿宋" w:cs="Times New Roman"/>
        </w:rPr>
      </w:pPr>
    </w:p>
    <w:p w14:paraId="43E1E881">
      <w:pPr>
        <w:pStyle w:val="8"/>
        <w:rPr>
          <w:rFonts w:hint="default" w:ascii="Times New Roman" w:hAnsi="Times New Roman" w:eastAsia="仿宋" w:cs="Times New Roman"/>
        </w:rPr>
      </w:pPr>
    </w:p>
    <w:p w14:paraId="47BA532F">
      <w:pPr>
        <w:pStyle w:val="8"/>
        <w:rPr>
          <w:rFonts w:hint="default" w:ascii="Times New Roman" w:hAnsi="Times New Roman" w:eastAsia="仿宋" w:cs="Times New Roman"/>
        </w:rPr>
      </w:pPr>
    </w:p>
    <w:p w14:paraId="2B236ED0">
      <w:pPr>
        <w:pStyle w:val="8"/>
        <w:rPr>
          <w:rFonts w:hint="default" w:ascii="Times New Roman" w:hAnsi="Times New Roman" w:eastAsia="仿宋" w:cs="Times New Roman"/>
        </w:rPr>
      </w:pPr>
    </w:p>
    <w:p w14:paraId="473DF6F8">
      <w:pPr>
        <w:pStyle w:val="8"/>
        <w:rPr>
          <w:rFonts w:hint="default" w:ascii="Times New Roman" w:hAnsi="Times New Roman" w:eastAsia="仿宋" w:cs="Times New Roman"/>
        </w:rPr>
      </w:pPr>
    </w:p>
    <w:p w14:paraId="47BAC1AA">
      <w:pPr>
        <w:pStyle w:val="8"/>
        <w:rPr>
          <w:rFonts w:hint="default" w:ascii="Times New Roman" w:hAnsi="Times New Roman" w:eastAsia="仿宋" w:cs="Times New Roman"/>
        </w:rPr>
      </w:pPr>
    </w:p>
    <w:p w14:paraId="0160E5EB">
      <w:pPr>
        <w:pStyle w:val="8"/>
        <w:rPr>
          <w:rFonts w:hint="default" w:ascii="Times New Roman" w:hAnsi="Times New Roman" w:eastAsia="仿宋" w:cs="Times New Roman"/>
        </w:rPr>
      </w:pPr>
    </w:p>
    <w:p w14:paraId="3D24D68E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委托单位：</w:t>
      </w:r>
      <w:r>
        <w:rPr>
          <w:rFonts w:hint="eastAsia" w:eastAsia="仿宋" w:cs="Times New Roman"/>
          <w:b/>
          <w:color w:val="auto"/>
          <w:sz w:val="32"/>
          <w:szCs w:val="32"/>
          <w:highlight w:val="none"/>
          <w:lang w:val="en-US" w:eastAsia="zh-CN"/>
        </w:rPr>
        <w:t>江苏省如皋高新技术产业开发区管理委员会</w:t>
      </w:r>
    </w:p>
    <w:p w14:paraId="2041E66F">
      <w:pPr>
        <w:spacing w:line="600" w:lineRule="exact"/>
        <w:jc w:val="center"/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编制单位：</w:t>
      </w:r>
      <w:r>
        <w:rPr>
          <w:rFonts w:hint="eastAsia" w:eastAsia="仿宋" w:cs="Times New Roman"/>
          <w:b/>
          <w:sz w:val="32"/>
          <w:szCs w:val="32"/>
          <w:lang w:eastAsia="zh-CN"/>
        </w:rPr>
        <w:t>江苏省环保集团南通有限公司</w:t>
      </w:r>
    </w:p>
    <w:p w14:paraId="3A5F5E2B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color w:val="auto"/>
          <w:sz w:val="30"/>
          <w:szCs w:val="30"/>
        </w:rPr>
        <w:t>二O二</w:t>
      </w:r>
      <w:r>
        <w:rPr>
          <w:rFonts w:hint="eastAsia" w:eastAsia="仿宋" w:cs="Times New Roman"/>
          <w:b/>
          <w:color w:val="auto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auto"/>
          <w:sz w:val="30"/>
          <w:szCs w:val="30"/>
        </w:rPr>
        <w:t>年</w:t>
      </w:r>
      <w:r>
        <w:rPr>
          <w:rFonts w:hint="eastAsia" w:eastAsia="仿宋" w:cs="Times New Roman"/>
          <w:b/>
          <w:color w:val="auto"/>
          <w:sz w:val="30"/>
          <w:szCs w:val="30"/>
          <w:lang w:val="en-US" w:eastAsia="zh-CN"/>
        </w:rPr>
        <w:t>十月</w:t>
      </w:r>
    </w:p>
    <w:p w14:paraId="22CF81D2">
      <w:r>
        <w:br w:type="page"/>
      </w:r>
    </w:p>
    <w:p w14:paraId="09B9BE8E">
      <w:pPr>
        <w:spacing w:line="500" w:lineRule="exact"/>
        <w:rPr>
          <w:rFonts w:hint="default" w:ascii="Times New Roman" w:hAnsi="Times New Roman" w:eastAsia="仿宋" w:cs="Times New Roman"/>
          <w:b/>
          <w:bCs/>
          <w:sz w:val="28"/>
        </w:rPr>
      </w:pPr>
      <w:r>
        <w:rPr>
          <w:rFonts w:hint="eastAsia" w:eastAsia="仿宋" w:cs="Times New Roman"/>
          <w:b/>
          <w:bCs/>
          <w:sz w:val="28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b/>
          <w:bCs/>
          <w:sz w:val="28"/>
        </w:rPr>
        <w:t>地块概况</w:t>
      </w:r>
    </w:p>
    <w:p w14:paraId="255C0320"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如皋市RC2017-62#地块</w:t>
      </w:r>
      <w:r>
        <w:rPr>
          <w:rFonts w:hint="default" w:ascii="Times New Roman" w:hAnsi="Times New Roman" w:eastAsia="仿宋" w:cs="Times New Roman"/>
          <w:sz w:val="28"/>
          <w:szCs w:val="28"/>
        </w:rPr>
        <w:t>位于</w:t>
      </w:r>
      <w:r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  <w:t>江苏省南通市如皋市中山西路南、大寿星路西侧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，调查范围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东至大寿星路，南至地表溪流，西至荒地，北至中山西路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，总占地面积约为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35356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zh-CN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（合计约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53.034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亩），</w:t>
      </w:r>
      <w:r>
        <w:rPr>
          <w:rFonts w:hint="eastAsia" w:eastAsia="仿宋" w:cs="Times New Roman"/>
          <w:sz w:val="28"/>
          <w:szCs w:val="28"/>
          <w:lang w:val="en-US" w:eastAsia="zh-CN"/>
        </w:rPr>
        <w:t>现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土地使用权人为</w:t>
      </w:r>
      <w:r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  <w:t>江苏省如皋高新技术产业开发区管理委员会</w:t>
      </w: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。</w:t>
      </w:r>
    </w:p>
    <w:p w14:paraId="179269BF"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本次调查地块规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划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为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>居住用地（R）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属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>于《国土空间调查、规划、用途管制用地用海分类指南》中的居住用地（GB36600-2018中的第一类用地）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，根据</w:t>
      </w:r>
      <w:r>
        <w:rPr>
          <w:rFonts w:hint="default" w:ascii="Times New Roman" w:hAnsi="Times New Roman" w:eastAsia="仿宋" w:cs="Times New Roman"/>
          <w:sz w:val="28"/>
          <w:szCs w:val="28"/>
        </w:rPr>
        <w:t>《中华人民共和国土壤污染防治法》（2019年1月1日施行）第五十九条第二款：“用途变更为住宅、公共管理与公共服务用地的，变更前应当按照规定进行土壤污染状况调查。”因此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江苏省如皋高新技术产业开发区管理委员会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委</w:t>
      </w:r>
      <w:r>
        <w:rPr>
          <w:rFonts w:hint="default" w:ascii="Times New Roman" w:hAnsi="Times New Roman" w:eastAsia="仿宋" w:cs="Times New Roman"/>
          <w:sz w:val="28"/>
          <w:szCs w:val="28"/>
        </w:rPr>
        <w:t>托</w:t>
      </w:r>
      <w:r>
        <w:rPr>
          <w:rFonts w:hint="eastAsia" w:eastAsia="仿宋" w:cs="Times New Roman"/>
          <w:sz w:val="28"/>
          <w:szCs w:val="28"/>
          <w:lang w:eastAsia="zh-CN"/>
        </w:rPr>
        <w:t>江苏省环保集团南通有限公司</w:t>
      </w:r>
      <w:r>
        <w:rPr>
          <w:rFonts w:hint="default" w:ascii="Times New Roman" w:hAnsi="Times New Roman" w:eastAsia="仿宋" w:cs="Times New Roman"/>
          <w:sz w:val="28"/>
          <w:szCs w:val="28"/>
        </w:rPr>
        <w:t>开展该地块的土壤污染状况调查工作。</w:t>
      </w:r>
    </w:p>
    <w:p w14:paraId="35314DA5">
      <w:pPr>
        <w:spacing w:line="500" w:lineRule="exact"/>
        <w:rPr>
          <w:rFonts w:hint="default" w:eastAsia="仿宋" w:cs="Times New Roman"/>
          <w:b/>
          <w:bCs/>
          <w:sz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lang w:val="en-US" w:eastAsia="zh-CN"/>
        </w:rPr>
        <w:t>2、采样方案及检测结果</w:t>
      </w:r>
    </w:p>
    <w:p w14:paraId="087DD172"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val="zh-CN"/>
        </w:rPr>
        <w:t>根据《建设用地土壤污染状况调查技术导则》（HJ25.1-2019）、《建设用地土壤环境调查评估技术指南》、《建设用地土壤污染风险管控与修复监测技术导则》（HJ25.2-2019）以及《建设用地土壤污染状况调查评估技术指南》等文件相关要求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本次土壤污染状况调查共布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设土壤采样点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个（包括1个土壤对照采样点），采样深度6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m，共送检土壤样品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36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包括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个平行样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，检测项目包括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pH值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、重金属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项、挥发性有机物（VOCs）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种、半挥发性有机物（SVOCs）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种、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石油烃（C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-C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vertAlign w:val="subscript"/>
          <w:lang w:val="en-US" w:eastAsia="zh-CN"/>
        </w:rPr>
        <w:t>40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）、锰、氟化物、乙酸乙酯、邻苯二甲酸二丁酯、丙烯酸、锑、</w:t>
      </w:r>
      <w:r>
        <w:rPr>
          <w:rFonts w:hint="eastAsia" w:eastAsia="仿宋" w:cs="Times New Roman"/>
          <w:kern w:val="0"/>
          <w:sz w:val="28"/>
          <w:szCs w:val="28"/>
          <w:lang w:val="en-US" w:eastAsia="zh-CN"/>
        </w:rPr>
        <w:t>铬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、氨氮、乙醛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；共布设地下水监测井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个（包括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1个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地下水对照采样点）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井深6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m，共采集地下水样品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个（包括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1个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对照点水样，1个平行样），检测项目包括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pH值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、重金属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项、挥发性有机物（VOCs）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种、半挥发性有机物（SVOCs）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常规项（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氯化物、硫酸盐、氨氮、耗氧量、挥发酚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磷酸盐、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锡、乙酸乙酯、甲醛、邻苯二甲酸二丁酯、丙烯酸、锑、</w:t>
      </w:r>
      <w:r>
        <w:rPr>
          <w:rFonts w:hint="eastAsia" w:eastAsia="仿宋" w:cs="Times New Roman"/>
          <w:kern w:val="0"/>
          <w:sz w:val="28"/>
          <w:szCs w:val="28"/>
          <w:lang w:val="en-US" w:eastAsia="zh-CN"/>
        </w:rPr>
        <w:t>铬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、甲醇、乙醛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6B0A9363">
      <w:pPr>
        <w:spacing w:line="480" w:lineRule="exact"/>
        <w:ind w:firstLine="560" w:firstLineChars="200"/>
        <w:rPr>
          <w:rFonts w:hint="eastAsia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>检测结果：</w:t>
      </w:r>
    </w:p>
    <w:p w14:paraId="50FD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（1）土壤</w:t>
      </w:r>
    </w:p>
    <w:p w14:paraId="63E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28"/>
        </w:rPr>
      </w:pP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</w:rPr>
        <w:t>本次调查土壤样品检出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pH值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铜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镍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铅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镉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汞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砷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石油烃（C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-C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vertAlign w:val="subscript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）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锑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铬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、氟化物、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锰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  <w:lang w:val="en-US" w:eastAsia="zh-CN"/>
        </w:rPr>
        <w:t>氨氮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</w:rPr>
        <w:t>，相关检测因子检出含量均满足《土壤环境质量建设用地土壤污染风险管控标准（试行）》（GB36600-2018）中第一类用地筛选值标准</w:t>
      </w:r>
      <w:r>
        <w:rPr>
          <w:rFonts w:hint="eastAsia" w:eastAsia="仿宋" w:cs="Times New Roman"/>
          <w:bCs/>
          <w:color w:val="000000"/>
          <w:sz w:val="28"/>
          <w:highlight w:val="none"/>
          <w:lang w:eastAsia="zh-CN"/>
        </w:rPr>
        <w:t>、江苏省地方标准《建设用地土壤污染风险筛选值》（DB32／T4712-2024）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第一类用地筛选值</w:t>
      </w:r>
      <w:r>
        <w:rPr>
          <w:rFonts w:hint="eastAsia" w:eastAsia="仿宋" w:cs="Times New Roman"/>
          <w:bCs/>
          <w:color w:val="000000"/>
          <w:sz w:val="28"/>
          <w:highlight w:val="none"/>
          <w:lang w:eastAsia="zh-CN"/>
        </w:rPr>
        <w:t>、《污染场地风险评估电子表格》中的计算的第一类用地非致癌风险控制值、《河北省建设用地土壤污染风险筛选值DB13T5216-2022》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第一类用地筛选值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</w:rPr>
        <w:t>。</w:t>
      </w:r>
    </w:p>
    <w:p w14:paraId="7FFE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）地下水</w:t>
      </w:r>
    </w:p>
    <w:p w14:paraId="6B848C3F">
      <w:pPr>
        <w:spacing w:line="480" w:lineRule="exact"/>
        <w:ind w:firstLine="560" w:firstLineChars="200"/>
        <w:rPr>
          <w:rFonts w:hint="default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</w:rPr>
        <w:t>本次调查地下水样品检出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pH值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氨氮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耗氧量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总硬度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溶解性固体总量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磷酸盐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丙烯酸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砷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锑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锌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锰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钠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氯化物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硫酸盐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硝酸盐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亚硝酸盐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氟化物，检出因子浓度均满足《地下水质量标准》（GB/T 14848-2017）Ⅳ类标准及</w:t>
      </w:r>
      <w:r>
        <w:rPr>
          <w:rFonts w:hint="eastAsia" w:eastAsia="仿宋" w:cs="Times New Roman"/>
          <w:color w:val="000000"/>
          <w:sz w:val="28"/>
          <w:szCs w:val="28"/>
          <w:highlight w:val="none"/>
          <w:lang w:val="en-US" w:eastAsia="zh-CN"/>
        </w:rPr>
        <w:t>《污染场地风险评估电子表格》中的计算的第一类用地非致癌风险控制值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  <w:t>。</w:t>
      </w:r>
    </w:p>
    <w:p w14:paraId="5E6F7B67">
      <w:pPr>
        <w:spacing w:line="500" w:lineRule="exact"/>
        <w:rPr>
          <w:rFonts w:hint="default" w:eastAsia="仿宋" w:cs="Times New Roman"/>
          <w:b/>
          <w:bCs/>
          <w:sz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lang w:val="en-US" w:eastAsia="zh-CN"/>
        </w:rPr>
        <w:t>3、调查结论</w:t>
      </w:r>
    </w:p>
    <w:p w14:paraId="003606D1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</w:t>
      </w:r>
      <w:r>
        <w:rPr>
          <w:rFonts w:hint="eastAsia" w:eastAsia="仿宋" w:cs="Times New Roman"/>
          <w:color w:val="auto"/>
          <w:sz w:val="28"/>
          <w:szCs w:val="28"/>
          <w:lang w:eastAsia="zh-CN"/>
        </w:rPr>
        <w:t>如皋市RC2017-62#地块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土壤污染状况调查结果，土壤样品检出数据均满足《土壤环境质量建设用地土壤污染风险管控标准（试行）》（GB36600-2018）中第一类用地筛选值标准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</w:rPr>
        <w:t>《土壤环境质量建设用地土壤污染风险管控标准（试行）》（GB36600-2018）中第一类用地筛选值标准</w:t>
      </w:r>
      <w:r>
        <w:rPr>
          <w:rFonts w:hint="eastAsia" w:eastAsia="仿宋" w:cs="Times New Roman"/>
          <w:bCs/>
          <w:color w:val="000000"/>
          <w:sz w:val="28"/>
          <w:highlight w:val="none"/>
          <w:lang w:eastAsia="zh-CN"/>
        </w:rPr>
        <w:t>、江苏省地方标准《建设用地土壤污染风险筛选值》（DB32／T4712-2024）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第一类用地筛选值</w:t>
      </w:r>
      <w:r>
        <w:rPr>
          <w:rFonts w:hint="eastAsia" w:eastAsia="仿宋" w:cs="Times New Roman"/>
          <w:bCs/>
          <w:color w:val="000000"/>
          <w:sz w:val="28"/>
          <w:highlight w:val="none"/>
          <w:lang w:eastAsia="zh-CN"/>
        </w:rPr>
        <w:t>、《污染场地风险评估电子表格》中的计算的第一类用地非致癌风险控制值、《河北省建设用地土壤污染风险筛选值DB13T5216-2022》</w:t>
      </w:r>
      <w:r>
        <w:rPr>
          <w:rFonts w:hint="eastAsia" w:eastAsia="仿宋" w:cs="Times New Roman"/>
          <w:bCs/>
          <w:color w:val="000000"/>
          <w:sz w:val="28"/>
          <w:highlight w:val="none"/>
          <w:lang w:val="en-US" w:eastAsia="zh-CN"/>
        </w:rPr>
        <w:t>第一类用地筛选值</w:t>
      </w:r>
      <w:r>
        <w:rPr>
          <w:rFonts w:hint="default" w:ascii="Times New Roman" w:hAnsi="Times New Roman" w:eastAsia="仿宋" w:cs="Times New Roman"/>
          <w:bCs/>
          <w:color w:val="000000"/>
          <w:sz w:val="28"/>
          <w:highlight w:val="none"/>
        </w:rPr>
        <w:t>。</w:t>
      </w:r>
    </w:p>
    <w:p w14:paraId="263FFE00">
      <w:pPr>
        <w:spacing w:line="500" w:lineRule="exact"/>
        <w:ind w:firstLine="560" w:firstLineChars="200"/>
        <w:rPr>
          <w:rFonts w:hint="default" w:eastAsia="仿宋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地下水样品检出因子均满足《地下水质量标准》（GB/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T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14848-2017）Ⅳ类标准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及</w:t>
      </w:r>
      <w:r>
        <w:rPr>
          <w:rFonts w:hint="eastAsia" w:eastAsia="仿宋" w:cs="Times New Roman"/>
          <w:kern w:val="0"/>
          <w:sz w:val="28"/>
          <w:szCs w:val="28"/>
          <w:highlight w:val="none"/>
          <w:lang w:eastAsia="zh-CN"/>
        </w:rPr>
        <w:t>《污染场地风险评估电子表格》中的计算的第一类用地非致癌风险控制值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。</w:t>
      </w:r>
    </w:p>
    <w:p w14:paraId="12310D09">
      <w:pPr>
        <w:spacing w:line="480" w:lineRule="exact"/>
        <w:ind w:firstLine="560" w:firstLineChars="200"/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综上所述，</w:t>
      </w:r>
      <w:r>
        <w:rPr>
          <w:rFonts w:hint="eastAsia" w:eastAsia="仿宋" w:cs="Times New Roman"/>
          <w:color w:val="auto"/>
          <w:sz w:val="28"/>
          <w:szCs w:val="28"/>
          <w:lang w:eastAsia="zh-CN"/>
        </w:rPr>
        <w:t>如皋市RC2017-62#地块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不属于污染地块，地块满足规划为</w:t>
      </w:r>
      <w:r>
        <w:rPr>
          <w:rFonts w:hint="eastAsia" w:eastAsia="仿宋" w:cs="Times New Roman"/>
          <w:sz w:val="28"/>
          <w:szCs w:val="28"/>
          <w:lang w:val="en-US" w:eastAsia="zh-CN"/>
        </w:rPr>
        <w:t>居住用地（R）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用途的土壤环境质量要求。</w:t>
      </w:r>
      <w:bookmarkStart w:id="0" w:name="_GoBack"/>
      <w:bookmarkEnd w:id="0"/>
    </w:p>
    <w:sectPr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F0A86"/>
    <w:multiLevelType w:val="multilevel"/>
    <w:tmpl w:val="DABF0A86"/>
    <w:lvl w:ilvl="0" w:tentative="0">
      <w:start w:val="1"/>
      <w:numFmt w:val="decimal"/>
      <w:pStyle w:val="16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9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1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22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pStyle w:val="17"/>
      <w:suff w:val="space"/>
      <w:lvlText w:val="表%1.%2-%6"/>
      <w:lvlJc w:val="left"/>
      <w:pPr>
        <w:ind w:left="2977" w:firstLine="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lvlRestart w:val="2"/>
      <w:pStyle w:val="23"/>
      <w:suff w:val="space"/>
      <w:lvlText w:val="图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suff w:val="nothing"/>
      <w:lvlText w:val="%8%1.%2%3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F80FEF24"/>
    <w:multiLevelType w:val="multilevel"/>
    <w:tmpl w:val="F80FEF24"/>
    <w:lvl w:ilvl="0" w:tentative="0">
      <w:start w:val="1"/>
      <w:numFmt w:val="decimal"/>
      <w:pStyle w:val="2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suff w:val="space"/>
      <w:lvlText w:val="表%1.%2-%6"/>
      <w:lvlJc w:val="left"/>
      <w:pPr>
        <w:ind w:left="2977" w:firstLine="0"/>
      </w:pPr>
      <w:rPr>
        <w:rFonts w:hint="eastAsia"/>
      </w:rPr>
    </w:lvl>
    <w:lvl w:ilvl="6" w:tentative="0">
      <w:start w:val="1"/>
      <w:numFmt w:val="decimal"/>
      <w:lvlRestart w:val="2"/>
      <w:suff w:val="space"/>
      <w:lvlText w:val="图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suff w:val="nothing"/>
      <w:lvlText w:val="%8%1.%2%3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55E3A943"/>
    <w:multiLevelType w:val="multilevel"/>
    <w:tmpl w:val="55E3A943"/>
    <w:lvl w:ilvl="0" w:tentative="0">
      <w:start w:val="1"/>
      <w:numFmt w:val="decimal"/>
      <w:pStyle w:val="3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2"/>
      <w:suff w:val="space"/>
      <w:lvlText w:val="表%1.%2-%6"/>
      <w:lvlJc w:val="left"/>
      <w:pPr>
        <w:ind w:left="2977" w:firstLine="0"/>
      </w:pPr>
      <w:rPr>
        <w:rFonts w:hint="eastAsia"/>
      </w:rPr>
    </w:lvl>
    <w:lvl w:ilvl="6" w:tentative="0">
      <w:start w:val="1"/>
      <w:numFmt w:val="decimal"/>
      <w:lvlRestart w:val="2"/>
      <w:suff w:val="space"/>
      <w:lvlText w:val="图%1.%2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suff w:val="nothing"/>
      <w:lvlText w:val="%8%1.%2%3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012D1"/>
    <w:rsid w:val="063012D1"/>
    <w:rsid w:val="06FD08ED"/>
    <w:rsid w:val="17E44EC0"/>
    <w:rsid w:val="1B6E1D5D"/>
    <w:rsid w:val="1B7C50FE"/>
    <w:rsid w:val="1D0F70BC"/>
    <w:rsid w:val="22DE677F"/>
    <w:rsid w:val="28755083"/>
    <w:rsid w:val="2BC929C8"/>
    <w:rsid w:val="346D20DA"/>
    <w:rsid w:val="36FC7FE0"/>
    <w:rsid w:val="3F865BC8"/>
    <w:rsid w:val="40E40233"/>
    <w:rsid w:val="61A064E8"/>
    <w:rsid w:val="621546FA"/>
    <w:rsid w:val="6D3A76CA"/>
    <w:rsid w:val="72410CCD"/>
    <w:rsid w:val="72516841"/>
    <w:rsid w:val="752C0E9F"/>
    <w:rsid w:val="7A1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720" w:lineRule="exact"/>
      <w:jc w:val="left"/>
      <w:outlineLvl w:val="0"/>
    </w:pPr>
    <w:rPr>
      <w:rFonts w:ascii="Times New Roman" w:hAnsi="Times New Roman" w:eastAsia="宋体"/>
      <w:kern w:val="44"/>
      <w:sz w:val="32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720" w:lineRule="exact"/>
      <w:ind w:firstLineChars="0"/>
      <w:outlineLvl w:val="1"/>
    </w:pPr>
    <w:rPr>
      <w:rFonts w:ascii="Times New Roman" w:hAnsi="Times New Roman" w:eastAsia="宋体" w:cstheme="minorBidi"/>
      <w:b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720" w:lineRule="exact"/>
      <w:outlineLvl w:val="2"/>
    </w:pPr>
    <w:rPr>
      <w:rFonts w:ascii="Times New Roman" w:hAnsi="Times New Roman" w:eastAsia="宋体" w:cstheme="minorBidi"/>
      <w:b/>
      <w:sz w:val="28"/>
    </w:rPr>
  </w:style>
  <w:style w:type="paragraph" w:styleId="5">
    <w:name w:val="heading 4"/>
    <w:basedOn w:val="1"/>
    <w:next w:val="6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720" w:lineRule="exact"/>
      <w:outlineLvl w:val="3"/>
    </w:pPr>
    <w:rPr>
      <w:rFonts w:ascii="Times New Roman" w:hAnsi="Times New Roman" w:eastAsia="宋体" w:cstheme="minorBidi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First Indent 2"/>
    <w:qFormat/>
    <w:uiPriority w:val="0"/>
    <w:pPr>
      <w:widowControl w:val="0"/>
      <w:autoSpaceDE w:val="0"/>
      <w:autoSpaceDN w:val="0"/>
      <w:adjustRightInd w:val="0"/>
      <w:spacing w:line="500" w:lineRule="exact"/>
      <w:jc w:val="both"/>
    </w:pPr>
    <w:rPr>
      <w:rFonts w:ascii="仿宋_GB2312" w:hAnsi="Times New Roman" w:eastAsia="仿宋_GB2312" w:cs="Times New Roman"/>
      <w:spacing w:val="4"/>
      <w:kern w:val="18"/>
      <w:sz w:val="21"/>
      <w:szCs w:val="28"/>
      <w:lang w:val="en-US" w:eastAsia="zh-CN" w:bidi="ar-SA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theme="minorBidi"/>
      <w:b/>
      <w:kern w:val="44"/>
      <w:sz w:val="32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宋体" w:cstheme="minorBidi"/>
      <w:b/>
      <w:kern w:val="2"/>
      <w:sz w:val="30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宋体" w:cstheme="minorBidi"/>
      <w:b/>
      <w:kern w:val="2"/>
      <w:sz w:val="28"/>
    </w:rPr>
  </w:style>
  <w:style w:type="character" w:customStyle="1" w:styleId="14">
    <w:name w:val="标题 4 Char"/>
    <w:link w:val="5"/>
    <w:qFormat/>
    <w:uiPriority w:val="0"/>
    <w:rPr>
      <w:rFonts w:ascii="Times New Roman" w:hAnsi="Times New Roman" w:eastAsia="宋体" w:cstheme="minorBidi"/>
      <w:b/>
      <w:kern w:val="2"/>
      <w:sz w:val="24"/>
    </w:rPr>
  </w:style>
  <w:style w:type="paragraph" w:customStyle="1" w:styleId="15">
    <w:name w:val="+正文"/>
    <w:qFormat/>
    <w:uiPriority w:val="0"/>
    <w:pPr>
      <w:widowControl w:val="0"/>
      <w:spacing w:line="360" w:lineRule="auto"/>
      <w:ind w:firstLine="440" w:firstLineChars="200"/>
      <w:jc w:val="both"/>
    </w:pPr>
    <w:rPr>
      <w:rFonts w:ascii="Times New Roman" w:hAnsi="Times New Roman" w:eastAsia="宋体" w:cs="Times New Roman"/>
      <w:kern w:val="2"/>
      <w:sz w:val="24"/>
      <w:szCs w:val="18"/>
      <w:lang w:val="en-US" w:eastAsia="zh-CN" w:bidi="ar-SA"/>
    </w:rPr>
  </w:style>
  <w:style w:type="paragraph" w:customStyle="1" w:styleId="16">
    <w:name w:val="01一级标题"/>
    <w:basedOn w:val="1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17">
    <w:name w:val="06表头"/>
    <w:basedOn w:val="1"/>
    <w:next w:val="1"/>
    <w:link w:val="18"/>
    <w:qFormat/>
    <w:uiPriority w:val="0"/>
    <w:pPr>
      <w:keepNext/>
      <w:widowControl/>
      <w:numPr>
        <w:ilvl w:val="5"/>
        <w:numId w:val="3"/>
      </w:numPr>
      <w:adjustRightInd w:val="0"/>
      <w:snapToGrid w:val="0"/>
      <w:spacing w:line="500" w:lineRule="exact"/>
      <w:ind w:left="0"/>
      <w:jc w:val="center"/>
      <w:outlineLvl w:val="5"/>
    </w:pPr>
    <w:rPr>
      <w:rFonts w:ascii="Times New Roman" w:hAnsi="Times New Roman" w:eastAsia="仿宋" w:cs="Times New Roman"/>
      <w:b/>
      <w:sz w:val="24"/>
      <w:szCs w:val="24"/>
      <w:lang w:val="zh-CN"/>
    </w:rPr>
  </w:style>
  <w:style w:type="character" w:customStyle="1" w:styleId="18">
    <w:name w:val="06表头 字符"/>
    <w:link w:val="17"/>
    <w:qFormat/>
    <w:uiPriority w:val="0"/>
    <w:rPr>
      <w:rFonts w:ascii="Times New Roman" w:hAnsi="Times New Roman" w:eastAsia="仿宋" w:cs="Times New Roman"/>
      <w:b/>
      <w:kern w:val="2"/>
      <w:sz w:val="24"/>
      <w:szCs w:val="24"/>
      <w:lang w:val="zh-CN"/>
    </w:rPr>
  </w:style>
  <w:style w:type="paragraph" w:customStyle="1" w:styleId="19">
    <w:name w:val="02二级标题"/>
    <w:basedOn w:val="1"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20">
    <w:name w:val="03三级标题"/>
    <w:basedOn w:val="1"/>
    <w:qFormat/>
    <w:uiPriority w:val="0"/>
    <w:pPr>
      <w:numPr>
        <w:ilvl w:val="2"/>
        <w:numId w:val="3"/>
      </w:numPr>
      <w:ind w:firstLine="0" w:firstLineChars="0"/>
    </w:pPr>
  </w:style>
  <w:style w:type="paragraph" w:customStyle="1" w:styleId="21">
    <w:name w:val="04四级标题"/>
    <w:basedOn w:val="1"/>
    <w:qFormat/>
    <w:uiPriority w:val="0"/>
    <w:pPr>
      <w:numPr>
        <w:ilvl w:val="3"/>
        <w:numId w:val="3"/>
      </w:numPr>
      <w:ind w:firstLine="0" w:firstLineChars="0"/>
    </w:pPr>
  </w:style>
  <w:style w:type="paragraph" w:customStyle="1" w:styleId="22">
    <w:name w:val="05五级标题"/>
    <w:basedOn w:val="1"/>
    <w:qFormat/>
    <w:uiPriority w:val="0"/>
    <w:pPr>
      <w:numPr>
        <w:ilvl w:val="4"/>
        <w:numId w:val="3"/>
      </w:numPr>
      <w:ind w:firstLine="0" w:firstLineChars="0"/>
    </w:pPr>
  </w:style>
  <w:style w:type="paragraph" w:customStyle="1" w:styleId="23">
    <w:name w:val="07图底"/>
    <w:basedOn w:val="1"/>
    <w:qFormat/>
    <w:uiPriority w:val="0"/>
    <w:pPr>
      <w:numPr>
        <w:ilvl w:val="6"/>
        <w:numId w:val="3"/>
      </w:num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1450</Words>
  <Characters>1674</Characters>
  <Lines>0</Lines>
  <Paragraphs>0</Paragraphs>
  <TotalTime>0</TotalTime>
  <ScaleCrop>false</ScaleCrop>
  <LinksUpToDate>false</LinksUpToDate>
  <CharactersWithSpaces>1677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2025-07-08T06:59:00Z</dcterms:created>
  <dc:creator>S.H.N</dc:creator>
  <cp:lastModifiedBy>S.H.N</cp:lastModifiedBy>
  <cp:lastPrinted>2025-07-08T07:17:00Z</cp:lastPrinted>
  <dcterms:modified xsi:type="dcterms:W3CDTF">2025-10-21T09:30:29Z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278130C91F88491BB4991AB8902F0D04_13</vt:lpwstr>
  </property>
  <property fmtid="{D5CDD505-2E9C-101B-9397-08002B2CF9AE}" pid="4" name="KSOTemplateDocerSaveRecord">
    <vt:lpwstr>eyJoZGlkIjoiNmMyNzAyYmMwOTdkZTExMzkzMGM3Mzg2YTU4NTM3OWMiLCJ1c2VySWQiOiIxMTUxODU3NzQ5In0=</vt:lpwstr>
  </property>
</Properties>
</file>